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1C7BAC" w:rsidRPr="00A44329" w:rsidTr="00755102">
        <w:trPr>
          <w:trHeight w:val="13457"/>
        </w:trPr>
        <w:tc>
          <w:tcPr>
            <w:tcW w:w="8522" w:type="dxa"/>
          </w:tcPr>
          <w:p w:rsidR="001C7BAC" w:rsidRPr="00A44329" w:rsidRDefault="008E1385" w:rsidP="00A44329">
            <w:pPr>
              <w:spacing w:line="360" w:lineRule="auto"/>
              <w:rPr>
                <w:rFonts w:ascii="宋体" w:hAnsi="宋体" w:cs="仿宋"/>
                <w:b/>
                <w:i/>
                <w:color w:val="0000FF"/>
                <w:sz w:val="28"/>
                <w:szCs w:val="28"/>
              </w:rPr>
            </w:pPr>
            <w:r w:rsidRPr="008E1385">
              <w:rPr>
                <w:rFonts w:ascii="仿宋" w:eastAsia="仿宋" w:hAnsi="仿宋" w:cs="仿宋"/>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1.5pt;margin-top:-.75pt;width:.05pt;height:.05pt;z-index:251656192" o:connectortype="straight"/>
              </w:pict>
            </w:r>
            <w:r w:rsidR="00783278">
              <w:rPr>
                <w:rFonts w:ascii="仿宋" w:eastAsia="仿宋" w:hAnsi="仿宋" w:cs="仿宋" w:hint="eastAsia"/>
                <w:noProof/>
                <w:sz w:val="24"/>
                <w:szCs w:val="24"/>
              </w:rPr>
              <w:drawing>
                <wp:inline distT="0" distB="0" distL="0" distR="0">
                  <wp:extent cx="2674620" cy="693420"/>
                  <wp:effectExtent l="1905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2674620" cy="693420"/>
                          </a:xfrm>
                          <a:prstGeom prst="rect">
                            <a:avLst/>
                          </a:prstGeom>
                          <a:noFill/>
                          <a:ln w="9525">
                            <a:noFill/>
                            <a:miter lim="800000"/>
                            <a:headEnd/>
                            <a:tailEnd/>
                          </a:ln>
                        </pic:spPr>
                      </pic:pic>
                    </a:graphicData>
                  </a:graphic>
                </wp:inline>
              </w:drawing>
            </w:r>
            <w:r w:rsidR="001C7BAC" w:rsidRPr="00A44329">
              <w:rPr>
                <w:rFonts w:ascii="仿宋" w:eastAsia="仿宋" w:hAnsi="仿宋" w:cs="仿宋" w:hint="eastAsia"/>
                <w:sz w:val="24"/>
                <w:szCs w:val="24"/>
              </w:rPr>
              <w:t xml:space="preserve">    </w:t>
            </w:r>
            <w:r w:rsidR="001C7BAC" w:rsidRPr="00A44329">
              <w:rPr>
                <w:rFonts w:ascii="仿宋" w:eastAsia="仿宋" w:hAnsi="仿宋" w:cs="仿宋" w:hint="eastAsia"/>
                <w:color w:val="0033CC"/>
                <w:sz w:val="24"/>
                <w:szCs w:val="24"/>
              </w:rPr>
              <w:t xml:space="preserve">    </w:t>
            </w:r>
            <w:r w:rsidR="001C7BAC" w:rsidRPr="00A44329">
              <w:rPr>
                <w:rFonts w:hAnsi="宋体"/>
                <w:b/>
                <w:i/>
                <w:color w:val="0000FF"/>
                <w:sz w:val="24"/>
                <w:szCs w:val="24"/>
              </w:rPr>
              <w:t>第</w:t>
            </w:r>
            <w:r w:rsidR="00783278">
              <w:rPr>
                <w:rFonts w:hint="eastAsia"/>
                <w:b/>
                <w:i/>
                <w:color w:val="0000FF"/>
                <w:sz w:val="24"/>
                <w:szCs w:val="24"/>
              </w:rPr>
              <w:t>1</w:t>
            </w:r>
            <w:r w:rsidR="00755102">
              <w:rPr>
                <w:rFonts w:hint="eastAsia"/>
                <w:b/>
                <w:i/>
                <w:color w:val="0000FF"/>
                <w:sz w:val="24"/>
                <w:szCs w:val="24"/>
              </w:rPr>
              <w:t>2</w:t>
            </w:r>
            <w:r w:rsidR="001C7BAC" w:rsidRPr="00A44329">
              <w:rPr>
                <w:rFonts w:hAnsi="宋体"/>
                <w:b/>
                <w:i/>
                <w:color w:val="0000FF"/>
                <w:sz w:val="24"/>
                <w:szCs w:val="24"/>
              </w:rPr>
              <w:t>期</w:t>
            </w:r>
            <w:r w:rsidR="001C7BAC" w:rsidRPr="00A44329">
              <w:rPr>
                <w:b/>
                <w:i/>
                <w:color w:val="0000FF"/>
                <w:sz w:val="24"/>
                <w:szCs w:val="24"/>
              </w:rPr>
              <w:t xml:space="preserve"> 20</w:t>
            </w:r>
            <w:r w:rsidR="00783278">
              <w:rPr>
                <w:rFonts w:hint="eastAsia"/>
                <w:b/>
                <w:i/>
                <w:color w:val="0000FF"/>
                <w:sz w:val="24"/>
                <w:szCs w:val="24"/>
              </w:rPr>
              <w:t>21</w:t>
            </w:r>
            <w:r w:rsidR="001C7BAC" w:rsidRPr="00A44329">
              <w:rPr>
                <w:rFonts w:hAnsi="宋体"/>
                <w:b/>
                <w:i/>
                <w:color w:val="0000FF"/>
                <w:sz w:val="24"/>
                <w:szCs w:val="24"/>
              </w:rPr>
              <w:t>年</w:t>
            </w:r>
            <w:r w:rsidR="001C7BAC" w:rsidRPr="00A44329">
              <w:rPr>
                <w:b/>
                <w:i/>
                <w:color w:val="0000FF"/>
                <w:sz w:val="24"/>
                <w:szCs w:val="24"/>
              </w:rPr>
              <w:t>1</w:t>
            </w:r>
            <w:r w:rsidR="00783278">
              <w:rPr>
                <w:rFonts w:hint="eastAsia"/>
                <w:b/>
                <w:i/>
                <w:color w:val="0000FF"/>
                <w:sz w:val="24"/>
                <w:szCs w:val="24"/>
              </w:rPr>
              <w:t>0</w:t>
            </w:r>
            <w:r w:rsidR="001C7BAC" w:rsidRPr="00A44329">
              <w:rPr>
                <w:rFonts w:hAnsi="宋体"/>
                <w:b/>
                <w:i/>
                <w:color w:val="0000FF"/>
                <w:sz w:val="24"/>
                <w:szCs w:val="24"/>
              </w:rPr>
              <w:t>月</w:t>
            </w:r>
            <w:r w:rsidR="00783278">
              <w:rPr>
                <w:rFonts w:hint="eastAsia"/>
                <w:b/>
                <w:i/>
                <w:color w:val="0000FF"/>
                <w:sz w:val="24"/>
                <w:szCs w:val="24"/>
              </w:rPr>
              <w:t>15</w:t>
            </w:r>
            <w:r w:rsidR="001C7BAC" w:rsidRPr="00A44329">
              <w:rPr>
                <w:rFonts w:hAnsi="宋体"/>
                <w:b/>
                <w:i/>
                <w:color w:val="0000FF"/>
                <w:sz w:val="24"/>
                <w:szCs w:val="24"/>
              </w:rPr>
              <w:t>日</w:t>
            </w:r>
          </w:p>
          <w:p w:rsidR="001C7BAC" w:rsidRPr="00A44329" w:rsidRDefault="008E1385" w:rsidP="00A44329">
            <w:pPr>
              <w:spacing w:line="360" w:lineRule="auto"/>
              <w:ind w:right="360"/>
              <w:jc w:val="right"/>
              <w:rPr>
                <w:rFonts w:ascii="黑体" w:eastAsia="黑体" w:hAnsi="黑体" w:cs="仿宋"/>
                <w:b/>
                <w:i/>
                <w:color w:val="0000FF"/>
                <w:szCs w:val="21"/>
                <w:u w:val="single"/>
              </w:rPr>
            </w:pPr>
            <w:r w:rsidRPr="008E1385">
              <w:rPr>
                <w:rFonts w:ascii="仿宋" w:eastAsia="仿宋" w:hAnsi="仿宋" w:cs="仿宋"/>
                <w:b/>
                <w:bCs/>
                <w:noProof/>
                <w:sz w:val="28"/>
                <w:szCs w:val="28"/>
              </w:rPr>
              <w:pict>
                <v:shape id="_x0000_s1046" type="#_x0000_t32" style="position:absolute;left:0;text-align:left;margin-left:7.35pt;margin-top:22.25pt;width:405.5pt;height:0;z-index:251655168" o:connectortype="straight" strokecolor="blue" strokeweight="2.25pt"/>
              </w:pict>
            </w:r>
            <w:r w:rsidRPr="008E1385">
              <w:rPr>
                <w:rFonts w:ascii="黑体" w:eastAsia="黑体" w:hAnsi="黑体" w:cs="仿宋"/>
                <w:b/>
                <w:i/>
                <w:noProof/>
                <w:color w:val="0000FF"/>
                <w:szCs w:val="21"/>
              </w:rPr>
              <w:pict>
                <v:shape id="_x0000_s1045" type="#_x0000_t32" style="position:absolute;left:0;text-align:left;margin-left:7.35pt;margin-top:2.85pt;width:405.5pt;height:0;z-index:251654144" o:connectortype="straight" strokecolor="blue" strokeweight="2.25pt"/>
              </w:pict>
            </w:r>
            <w:r w:rsidR="001C7BAC" w:rsidRPr="00A44329">
              <w:rPr>
                <w:rFonts w:ascii="黑体" w:eastAsia="黑体" w:hAnsi="黑体" w:cs="仿宋" w:hint="eastAsia"/>
                <w:b/>
                <w:i/>
                <w:color w:val="0000FF"/>
                <w:szCs w:val="21"/>
              </w:rPr>
              <w:t>编委：</w:t>
            </w:r>
            <w:r w:rsidR="00CB4ABC">
              <w:rPr>
                <w:rFonts w:ascii="黑体" w:eastAsia="黑体" w:hAnsi="黑体" w:cs="仿宋" w:hint="eastAsia"/>
                <w:b/>
                <w:i/>
                <w:color w:val="0000FF"/>
                <w:szCs w:val="21"/>
              </w:rPr>
              <w:t>李慧</w:t>
            </w:r>
            <w:r w:rsidR="001C7BAC" w:rsidRPr="00A44329">
              <w:rPr>
                <w:rFonts w:ascii="黑体" w:eastAsia="黑体" w:hAnsi="黑体" w:cs="仿宋" w:hint="eastAsia"/>
                <w:b/>
                <w:i/>
                <w:color w:val="0000FF"/>
                <w:szCs w:val="21"/>
              </w:rPr>
              <w:t xml:space="preserve"> </w:t>
            </w:r>
          </w:p>
          <w:p w:rsidR="001C7BAC" w:rsidRDefault="001C7BAC" w:rsidP="00A44329">
            <w:pPr>
              <w:spacing w:line="360" w:lineRule="auto"/>
              <w:rPr>
                <w:rFonts w:ascii="仿宋" w:eastAsia="仿宋" w:hAnsi="仿宋" w:cs="仿宋"/>
                <w:b/>
                <w:sz w:val="28"/>
                <w:szCs w:val="28"/>
              </w:rPr>
            </w:pPr>
          </w:p>
          <w:p w:rsidR="008112E7" w:rsidRPr="008112E7" w:rsidRDefault="008112E7" w:rsidP="008112E7">
            <w:pPr>
              <w:spacing w:line="360" w:lineRule="auto"/>
              <w:ind w:firstLineChars="200" w:firstLine="442"/>
              <w:rPr>
                <w:rFonts w:ascii="仿宋" w:eastAsia="仿宋" w:hAnsi="仿宋" w:cs="仿宋"/>
                <w:b/>
                <w:color w:val="0000FF"/>
                <w:sz w:val="22"/>
                <w:szCs w:val="28"/>
              </w:rPr>
            </w:pPr>
            <w:r w:rsidRPr="008112E7">
              <w:rPr>
                <w:rFonts w:ascii="仿宋" w:eastAsia="仿宋" w:hAnsi="仿宋" w:cs="仿宋" w:hint="eastAsia"/>
                <w:b/>
                <w:color w:val="0000FF"/>
                <w:sz w:val="22"/>
                <w:szCs w:val="28"/>
              </w:rPr>
              <w:t>编者按：本文的目的是厘清专利法第七十六条在解决涉及药品链接制度中的药品上市许可人确认不侵犯药品专利的法律基础。但是，给广大仿制药企业的一个重要提醒是：仿制药企业应该善于利用专利链接制度，及早评估药品专利的稳定性、保护范围以及可能存在的规避路径，并</w:t>
            </w:r>
            <w:r w:rsidR="00382778">
              <w:rPr>
                <w:rFonts w:ascii="仿宋" w:eastAsia="仿宋" w:hAnsi="仿宋" w:cs="仿宋" w:hint="eastAsia"/>
                <w:b/>
                <w:color w:val="0000FF"/>
                <w:sz w:val="22"/>
                <w:szCs w:val="28"/>
              </w:rPr>
              <w:t>为</w:t>
            </w:r>
            <w:r w:rsidRPr="008112E7">
              <w:rPr>
                <w:rFonts w:ascii="仿宋" w:eastAsia="仿宋" w:hAnsi="仿宋" w:cs="仿宋" w:hint="eastAsia"/>
                <w:b/>
                <w:color w:val="0000FF"/>
                <w:sz w:val="22"/>
                <w:szCs w:val="28"/>
              </w:rPr>
              <w:t>药品上市申请前做好专利挑战的准备。同时，对于药品专利权人及利害关系人而言，应该充分利用专利链接制度，及时监控可能出现的挑战，并迅速对此做出应对。</w:t>
            </w:r>
          </w:p>
          <w:p w:rsidR="00CB4ABC" w:rsidRDefault="008E1385" w:rsidP="00CB4ABC">
            <w:pPr>
              <w:autoSpaceDE w:val="0"/>
              <w:autoSpaceDN w:val="0"/>
              <w:jc w:val="left"/>
              <w:rPr>
                <w:rFonts w:ascii="仿宋" w:eastAsia="仿宋" w:hAnsi="仿宋" w:cs="仿宋"/>
                <w:b/>
                <w:color w:val="0000FF"/>
                <w:sz w:val="28"/>
                <w:szCs w:val="28"/>
                <w:u w:val="single"/>
              </w:rPr>
            </w:pPr>
            <w:r w:rsidRPr="008E1385">
              <w:rPr>
                <w:rFonts w:ascii="仿宋" w:eastAsia="仿宋" w:hAnsi="仿宋" w:cs="仿宋"/>
                <w:noProof/>
                <w:sz w:val="24"/>
                <w:szCs w:val="24"/>
              </w:rPr>
              <w:pict>
                <v:shape id="_x0000_s1050" type="#_x0000_t32" style="position:absolute;margin-left:7.35pt;margin-top:18.1pt;width:405.5pt;height:0;z-index:251658240" o:connectortype="straight" strokecolor="blue" strokeweight="2.25pt"/>
              </w:pict>
            </w:r>
          </w:p>
          <w:p w:rsidR="008112E7" w:rsidRDefault="008112E7" w:rsidP="00CB4ABC">
            <w:pPr>
              <w:autoSpaceDE w:val="0"/>
              <w:autoSpaceDN w:val="0"/>
              <w:jc w:val="left"/>
              <w:rPr>
                <w:rFonts w:ascii="仿宋" w:eastAsia="仿宋" w:hAnsi="仿宋" w:cs="仿宋"/>
                <w:b/>
                <w:color w:val="0000FF"/>
                <w:sz w:val="28"/>
                <w:szCs w:val="28"/>
                <w:u w:val="single"/>
              </w:rPr>
            </w:pPr>
          </w:p>
          <w:p w:rsidR="00DC73EF" w:rsidRPr="00CB0B42" w:rsidRDefault="00DC73EF" w:rsidP="00CB4ABC">
            <w:pPr>
              <w:autoSpaceDE w:val="0"/>
              <w:autoSpaceDN w:val="0"/>
              <w:jc w:val="left"/>
              <w:rPr>
                <w:rFonts w:ascii="仿宋" w:eastAsia="仿宋" w:hAnsi="仿宋" w:cs="仿宋"/>
                <w:b/>
                <w:color w:val="0000FF"/>
                <w:sz w:val="28"/>
                <w:szCs w:val="28"/>
                <w:u w:val="single"/>
              </w:rPr>
            </w:pPr>
            <w:r w:rsidRPr="00CB0B42">
              <w:rPr>
                <w:rFonts w:ascii="仿宋" w:eastAsia="仿宋" w:hAnsi="仿宋" w:cs="仿宋" w:hint="eastAsia"/>
                <w:b/>
                <w:color w:val="0000FF"/>
                <w:sz w:val="28"/>
                <w:szCs w:val="28"/>
                <w:u w:val="single"/>
              </w:rPr>
              <w:t>从一则案例看专利法第七十六条的必要性</w:t>
            </w:r>
          </w:p>
          <w:p w:rsidR="00755102" w:rsidRDefault="00CB4ABC" w:rsidP="00CB4ABC">
            <w:pPr>
              <w:spacing w:line="360" w:lineRule="auto"/>
              <w:jc w:val="left"/>
              <w:rPr>
                <w:rFonts w:ascii="仿宋" w:eastAsia="仿宋" w:hAnsi="仿宋" w:cs="仿宋"/>
                <w:b/>
                <w:color w:val="0000FF"/>
                <w:szCs w:val="28"/>
              </w:rPr>
            </w:pPr>
            <w:r w:rsidRPr="00CB4ABC">
              <w:rPr>
                <w:rFonts w:ascii="仿宋" w:eastAsia="仿宋" w:hAnsi="仿宋" w:cs="仿宋" w:hint="eastAsia"/>
                <w:b/>
                <w:color w:val="0000FF"/>
                <w:szCs w:val="28"/>
              </w:rPr>
              <w:t xml:space="preserve">作者：卢宏   </w:t>
            </w:r>
            <w:hyperlink r:id="rId9" w:history="1">
              <w:r w:rsidRPr="007707AA">
                <w:rPr>
                  <w:rStyle w:val="a3"/>
                  <w:rFonts w:ascii="仿宋" w:eastAsia="仿宋" w:hAnsi="仿宋" w:cs="仿宋"/>
                  <w:b/>
                  <w:szCs w:val="28"/>
                </w:rPr>
                <w:t>luhong@zonekey.com</w:t>
              </w:r>
            </w:hyperlink>
          </w:p>
          <w:p w:rsidR="00CB4ABC" w:rsidRPr="00CB4ABC" w:rsidRDefault="00CB4ABC" w:rsidP="00CB4ABC">
            <w:pPr>
              <w:spacing w:line="360" w:lineRule="auto"/>
              <w:jc w:val="left"/>
              <w:rPr>
                <w:rFonts w:asciiTheme="minorEastAsia" w:eastAsiaTheme="minorEastAsia" w:hAnsiTheme="minorEastAsia" w:cs="仿宋"/>
                <w:kern w:val="0"/>
                <w:sz w:val="24"/>
                <w:szCs w:val="24"/>
                <w:lang w:bidi="zh-CN"/>
              </w:rPr>
            </w:pP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2021年6月1日生效的新专利法是我国专利法第四次修改。在本次修改中引入了专利链接制度，旨在保护药品专利权人的利益，同时也平衡药品仿制企业及社会公众的利益。笔者认为，该制度不但是必要的，而且是特别有利于仿制药企业进行仿制药开发，对丰富国内药品的可及性具有重要意义，同时解决了仿制药在上市之前就仿制药是否会侵犯相关专利药的专利权，予以确定，从而排除了仿制药上市后可能因专利纠纷而不能投入市场的被动局面。</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F86AD0">
              <w:rPr>
                <w:rFonts w:asciiTheme="minorEastAsia" w:eastAsiaTheme="minorEastAsia" w:hAnsiTheme="minorEastAsia" w:cs="仿宋"/>
                <w:kern w:val="0"/>
                <w:sz w:val="24"/>
                <w:szCs w:val="24"/>
                <w:lang w:val="zh-CN" w:bidi="zh-CN"/>
              </w:rPr>
              <w:t>案例分析</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首先让我们先看一则案例。</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药品行政审批过程当中，出现药品注册申请人与专利权人之间的纠纷是由来已久的事情。笔者曾经代理了一件药品生产企业与专利权人之间的确认之诉。具体案情如下：</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药品生产企业A（以下简称A公司）向药监局报批过程当中，因专利权人向国</w:t>
            </w:r>
            <w:r w:rsidRPr="00DC73EF">
              <w:rPr>
                <w:rFonts w:asciiTheme="minorEastAsia" w:eastAsiaTheme="minorEastAsia" w:hAnsiTheme="minorEastAsia" w:cs="仿宋" w:hint="eastAsia"/>
                <w:kern w:val="0"/>
                <w:sz w:val="24"/>
                <w:szCs w:val="24"/>
                <w:lang w:val="zh-CN" w:bidi="zh-CN"/>
              </w:rPr>
              <w:lastRenderedPageBreak/>
              <w:t>家药品监督局提出投诉，认为所报批的药品侵犯其专利权。国家药监局则发函给药品注册申请人即药品生产企业A，请其与专利权人协商，审批程序暂停。</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其后，A公司向国家食品药品监督管理局药品审评中心出具了答复意见，称其药品注册申请符合既定的条件，且与专利权不构成冲突。</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2011年7月7日，原告A公司出具一份《函》给被告即专利权人，该《函》载明A公司向国家食品药品监督管理局申报注册的配方及生产工艺的相关资料寄送被告，并称如贵被告认为原告的该药品注册侵犯了被告的专利权，请被告在收到本函后一个月之内向有管辖权的法院提起侵犯专利权之诉；如被告认为原告的该产品未侵犯上述专利权，请被告在收到本函后一个月之内，向国家食品药品监督管理局书面确认原告不侵犯被告的该专利权。</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但是，尽管药品注册申请人与专利权人进行了多次接触，但专利权人既不撤回投诉、没有给出A公司药品落入其保护范围的说明，更未启动任何行政或司法程序，导致药品审批过程无法推进。在此情况下，A公司依据民事诉讼法第一百零八条、第一百一十一条、《最高人民法院关于审理侵犯专利权纠纷案件应用法律若干问题的解释》法释〔2009〕21号第18条向法院提出了确认不侵权之诉。法院在审理阶段归纳了本案的诉讼争议焦点为：一、本案是否符合确认不侵权之诉的条件；二、被上诉人申报的产品是否落入涉案专利权利的保护范围。</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根据上述司法解释，成立不侵权之诉应当符合以下条件：1、权利人发出侵犯其专利权的警告；2、被警告人或者利害关系人书面催告权利人行使诉权；3、权利人在收到书面催告一个月内或自书面催告发出之日起二个月内权利人不撤回警告亦不起诉。</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本案当中，权利人并未直接向原告（药品注册申请人）发出侵权警告。司法实践中，以律师函等形式体现的警告函的发送对象通常是涉嫌侵权的生产经营者本人。本案审理法院扩展了侵权警告函的形式和对象的范围，即本案中的侵权警告是以专利权人针对原告的新药申请而向国家有关部门提出的权利异议的方式体现。虽然它有别于权利人与涉嫌侵权人之间直接建立的侵权警告关系，但由于专利权人提出的该种异议已经直接影响到了原告的生产经营活动，从而在实质上起到了直接向原告发送警告函相同的作用和后果</w:t>
            </w:r>
            <w:r w:rsidRPr="00F86AD0">
              <w:rPr>
                <w:rFonts w:asciiTheme="minorEastAsia" w:eastAsiaTheme="minorEastAsia" w:hAnsiTheme="minorEastAsia" w:cs="仿宋" w:hint="eastAsia"/>
                <w:kern w:val="0"/>
                <w:sz w:val="24"/>
                <w:szCs w:val="24"/>
                <w:lang w:val="zh-CN" w:bidi="zh-CN"/>
              </w:rPr>
              <w:t>[1]</w:t>
            </w:r>
            <w:r w:rsidRPr="00DC73EF">
              <w:rPr>
                <w:rFonts w:asciiTheme="minorEastAsia" w:eastAsiaTheme="minorEastAsia" w:hAnsiTheme="minorEastAsia" w:cs="仿宋" w:hint="eastAsia"/>
                <w:kern w:val="0"/>
                <w:sz w:val="24"/>
                <w:szCs w:val="24"/>
                <w:lang w:val="zh-CN" w:bidi="zh-CN"/>
              </w:rPr>
              <w:t>。从尽快稳定法律关系和恢复市场秩序的角度出发，法院在本案中对侵权警告函的形式和对象作出的灵活处</w:t>
            </w:r>
            <w:r w:rsidRPr="00DC73EF">
              <w:rPr>
                <w:rFonts w:asciiTheme="minorEastAsia" w:eastAsiaTheme="minorEastAsia" w:hAnsiTheme="minorEastAsia" w:cs="仿宋" w:hint="eastAsia"/>
                <w:kern w:val="0"/>
                <w:sz w:val="24"/>
                <w:szCs w:val="24"/>
                <w:lang w:val="zh-CN" w:bidi="zh-CN"/>
              </w:rPr>
              <w:lastRenderedPageBreak/>
              <w:t>理和解释，符合法律设置确认不侵权之诉的立法本义。本案也因此说理被最高院选为当年的十大创新案例之一。</w:t>
            </w:r>
          </w:p>
          <w:p w:rsidR="00DC73EF" w:rsidRPr="00DC73EF" w:rsidRDefault="00DC73EF" w:rsidP="00755102">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但是，本案中仍有一个问题值得讨论，即权利人在合理时间内不起诉的条件是否满足。当然从证据的表面上看，的确专利权人在收到原告的催告函之后没有采取任何行动，不管是撤回警告还是提起诉讼。但问题是，此情况下专利权人是否有侵权事实来支持其提出诉讼？按照专利法（2008）第六十九条第一款第五项的规定：为提供行政审批所需要的信息，制造、使用、进口专利药品或者专利医疗器械的，以及专门为其制造、进口专利药品或者专利医疗器械的。也就是说，原告在向被告专利权人发出催告函之时，原告为药品行政审批制造专利药品的行为属于侵权例外，不构成侵犯专利权的行为。即专利权人并无起诉药品注册申请人侵权的事实依据。法律也未明确药品注册申请人向药监部门提交注册申请的行为是否属于某种侵权行为。</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F86AD0">
              <w:rPr>
                <w:rFonts w:asciiTheme="minorEastAsia" w:eastAsiaTheme="minorEastAsia" w:hAnsiTheme="minorEastAsia" w:cs="仿宋"/>
                <w:kern w:val="0"/>
                <w:sz w:val="24"/>
                <w:szCs w:val="24"/>
                <w:lang w:val="zh-CN" w:bidi="zh-CN"/>
              </w:rPr>
              <w:t>新专利法第七十六条</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根据专利法（2020）第七十六条的规定：药品上市审评审批过程中，药品上市许可申请人与有关专利权人或者利害关系人，因申请注册的药品相关的专利权产生纠纷的，相关当事人可以向人民法院起诉，请求就申请注册的药品相关技术方案是否落入他人药品专利权保护范围作出判决。国务院药品监督管理部门在规定的期限内，可以根据人民法院生效裁判作出是否暂停批准相关药品上市的决定。</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从本条规定可以看出，新专利法专门就药品上市申请过程中出现的药品专利权人与药品上市许可申请人因药品相关专利产生纠纷的，相关当事人可以向法院寻求救济，其中的相关当事人既包括专利权人也包括药品上市许可申请人。2021年7月4日国家药监局和国家知识产权局联合关于发布《药品专利纠纷早期解决机制实施办法（试行）》，其中规定了相关当事人还可以就药品注册申请过程中的涉及专利的纠纷向国家知识产权局请求行政裁决。该实施办法第八条第二款规定：专利权人或者利害关系人未在规定期限内提起诉讼或者请求行政裁决的，仿制药申请人可以按相关规定提起诉讼或者请求行政裁决。</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专利法第七十六条中规定了两种提起诉讼的情形，一种是专利权人就药品上市许可人向药监部门提出上市许可申请的行为，提起侵权诉讼；另一种情形是：</w:t>
            </w:r>
            <w:r w:rsidRPr="00DC73EF">
              <w:rPr>
                <w:rFonts w:asciiTheme="minorEastAsia" w:eastAsiaTheme="minorEastAsia" w:hAnsiTheme="minorEastAsia" w:cs="仿宋" w:hint="eastAsia"/>
                <w:kern w:val="0"/>
                <w:sz w:val="24"/>
                <w:szCs w:val="24"/>
                <w:lang w:val="zh-CN" w:bidi="zh-CN"/>
              </w:rPr>
              <w:lastRenderedPageBreak/>
              <w:t>当权利人不行使权利时，药品上市许可人也可以向人民法院提起诉讼。</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这两种情形下，其实都涉及一个问题，即向药监部门提出药品上市申请的行为是否构成侵权行为。按照本条的规定，显然是将药品上市许可申请人提交上市申请的行为认定为“侵权行为”。但此处的“侵权行为”与专利法第十一条规定的侵权行为却不相同，即非“制造、使用、销售、许诺销售”。本条规定避开了美国法下为专利链接制度设定的“拟制侵权”概念，以保障中国专利法下专利侵权行为概念的稳定性。同时，此条规定的“特殊侵权行为”，与专利法第七十五条规定的Bolar例外并不矛盾。根据专利法第七十五条第一款第（五）项的规定：为提供行政审批所需要的信息，制造、使用、进口专利药品或者专利医疗器械的，以及专门为其制造、进口专利药品或者专利医疗器械的。其中所指的不视为侵权的行为仅仅限定在获得药品上市许可所需的信息，而非药品上市申请行为本身。因此，基于上述认识，笔者认为既不必要引入“拟制侵权”的概念，也不必对“Bolar例外”再作例外规定。</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另一方面，将提交上市申请的行为认定为“侵权行为”，也并非没有法律上的依据。根据ＴＲＩＰＳ协议（《与贸易（包括假冒商品贸易在内）有关的知识产权协议》）第50条第（一）项规定司法机关有权责令采取迅速和有效的临时措施以便防止侵犯任何知识产权，特别是防止货物进入其管辖范围内的商业渠道，包括结关后立即进入的进口货物。基于此，中国专利法第三次修改时，引入了对“即发侵权”行为的规制，将“许诺销售”行为纳入侵权行为的范围。笔者认为，向药监部门提交上市许可申请类似于一种许诺销售的行为，因此，将其作为一种特殊的侵权行为予以规制是与TRIPS协议第三部分知识产权维权中关于临时措施的目的一致的。</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上述对“侵权行为”的分析，能够解决药品专利权人向人民法院提起侵权诉讼的基础，但对于药品上市申请人而言，还需要解决诉讼的案由以及是否符合确认之诉立案条件的问题。</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尽管专利法及《药品专利纠纷早期解决机制实施办法（试行）》并没有明确药品上市申请人提起诉讼的案由应该是确认不侵权之诉，但是，根据专利法第七十六条规定，药品上市申请人符合确认之诉的诉权要件，应当以确认之诉作为案由提起诉讼。</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lastRenderedPageBreak/>
              <w:t>药品上市申请人具有确认之诉的原告适格性。原告必须是有诉讼权利能力、与本案有直接利害关系的公民、法人和其他组织。所谓的“直接利害关系”，是指请求法院保护的利益是属于提起诉讼的当事人自己的利益或者受其管理和支配的利益。专利法七十六条规定了药品上市申请人与药品专利权人因药品涉及的专利有争议，因此，对药品上市申请人而言确认其药品是否构成专利侵权直接决定其上市申请是否能通过，因此具有直接利害关系。同时，“当事人适格与确认利益具有表里一体之关系”</w:t>
            </w:r>
            <w:r w:rsidRPr="00F86AD0">
              <w:rPr>
                <w:rFonts w:asciiTheme="minorEastAsia" w:eastAsiaTheme="minorEastAsia" w:hAnsiTheme="minorEastAsia" w:cs="仿宋" w:hint="eastAsia"/>
                <w:kern w:val="0"/>
                <w:sz w:val="24"/>
                <w:szCs w:val="24"/>
                <w:lang w:val="zh-CN" w:bidi="zh-CN"/>
              </w:rPr>
              <w:t>[2]</w:t>
            </w:r>
            <w:r w:rsidRPr="00DC73EF">
              <w:rPr>
                <w:rFonts w:asciiTheme="minorEastAsia" w:eastAsiaTheme="minorEastAsia" w:hAnsiTheme="minorEastAsia" w:cs="仿宋" w:hint="eastAsia"/>
                <w:kern w:val="0"/>
                <w:sz w:val="24"/>
                <w:szCs w:val="24"/>
                <w:lang w:val="zh-CN" w:bidi="zh-CN"/>
              </w:rPr>
              <w:t>。尽管根据现行的确认不侵权之诉的司法解释，启动确认不侵权之诉需要有：1、权利人发出侵犯其专利权的警告；2、被警告人或者利害关系人书面催告权利人行使诉权；3、权利人在收到书面催告一个月内或自书面催告发出之日起二个月内权利人不撤回警告亦不起诉等形式要件，但是专利法的位阶显然大于司法解释。同时，《药品专利纠纷早期解决机制实施办法（试行）》第七条规定，专利权人或者利害关系人对四类专利声明有异议的，可以自国家药品审评机构公开药品上市许可申请之日起45日内，就申请上市药品的相关技术方案是否落入相关专利权保护范围向人民法院提起诉讼或者向国务院专利行政部门请求行政裁决。该办法第八条第二款规定：专利权人或者利害关系人未在规定期限内提起诉讼或者请求行政裁决的，仿制药申请人可以按相关规定提起诉讼或者请求行政裁决。该实施办法细化和规范了药品上市申请人在何种情形下，可以提起诉讼（确认不侵权之诉）。</w:t>
            </w:r>
          </w:p>
          <w:p w:rsidR="00DC73EF" w:rsidRPr="00DC73EF" w:rsidRDefault="00DC73EF" w:rsidP="00F86AD0">
            <w:pPr>
              <w:autoSpaceDE w:val="0"/>
              <w:autoSpaceDN w:val="0"/>
              <w:spacing w:line="360" w:lineRule="auto"/>
              <w:ind w:firstLineChars="200" w:firstLine="480"/>
              <w:jc w:val="left"/>
              <w:rPr>
                <w:rFonts w:asciiTheme="minorEastAsia" w:eastAsiaTheme="minorEastAsia" w:hAnsiTheme="minorEastAsia" w:cs="仿宋"/>
                <w:kern w:val="0"/>
                <w:sz w:val="24"/>
                <w:szCs w:val="24"/>
                <w:lang w:val="zh-CN" w:bidi="zh-CN"/>
              </w:rPr>
            </w:pPr>
            <w:r w:rsidRPr="00DC73EF">
              <w:rPr>
                <w:rFonts w:asciiTheme="minorEastAsia" w:eastAsiaTheme="minorEastAsia" w:hAnsiTheme="minorEastAsia" w:cs="仿宋" w:hint="eastAsia"/>
                <w:kern w:val="0"/>
                <w:sz w:val="24"/>
                <w:szCs w:val="24"/>
                <w:lang w:val="zh-CN" w:bidi="zh-CN"/>
              </w:rPr>
              <w:t>因此，专利法第七十六条已经确立了药品上市申请人在药品上市申请中提起确认不侵权之诉的基础，同时《药品专利纠纷早期解决机制实施办法（试行）》则规定了药品上市申请人提起确认不侵权之诉的条件，从而克服了前述案例中存在的不周延的情形。</w:t>
            </w:r>
          </w:p>
          <w:p w:rsidR="00DC73EF" w:rsidRPr="00DC73EF" w:rsidRDefault="008E1385" w:rsidP="00A11BE9">
            <w:pPr>
              <w:autoSpaceDE w:val="0"/>
              <w:autoSpaceDN w:val="0"/>
              <w:jc w:val="left"/>
              <w:rPr>
                <w:rFonts w:ascii="仿宋" w:eastAsia="仿宋" w:hAnsi="仿宋" w:cs="仿宋"/>
                <w:kern w:val="0"/>
                <w:sz w:val="24"/>
                <w:szCs w:val="24"/>
                <w:lang w:val="zh-CN" w:bidi="zh-CN"/>
              </w:rPr>
            </w:pPr>
            <w:r w:rsidRPr="008E1385">
              <w:rPr>
                <w:rFonts w:ascii="仿宋" w:eastAsia="仿宋" w:hAnsi="仿宋" w:cs="仿宋"/>
                <w:kern w:val="0"/>
                <w:sz w:val="24"/>
                <w:szCs w:val="24"/>
                <w:lang w:val="zh-CN" w:bidi="zh-CN"/>
              </w:rPr>
              <w:pict>
                <v:rect id="_x0000_i1025" style="width:0;height:1.5pt" o:hrstd="t" o:hrnoshade="t" o:hr="t" fillcolor="#333" stroked="f"/>
              </w:pict>
            </w:r>
          </w:p>
          <w:p w:rsidR="00DC73EF" w:rsidRPr="00DC73EF" w:rsidRDefault="00DC73EF" w:rsidP="00A11BE9">
            <w:pPr>
              <w:autoSpaceDE w:val="0"/>
              <w:autoSpaceDN w:val="0"/>
              <w:jc w:val="left"/>
              <w:rPr>
                <w:rFonts w:ascii="仿宋" w:eastAsia="仿宋" w:hAnsi="仿宋" w:cs="仿宋"/>
                <w:kern w:val="0"/>
                <w:sz w:val="24"/>
                <w:szCs w:val="24"/>
                <w:lang w:val="zh-CN" w:bidi="zh-CN"/>
              </w:rPr>
            </w:pPr>
            <w:r w:rsidRPr="00A11BE9">
              <w:rPr>
                <w:rFonts w:ascii="仿宋" w:eastAsia="仿宋" w:hAnsi="仿宋" w:cs="仿宋" w:hint="eastAsia"/>
                <w:kern w:val="0"/>
                <w:sz w:val="24"/>
                <w:szCs w:val="24"/>
                <w:lang w:val="zh-CN" w:bidi="zh-CN"/>
              </w:rPr>
              <w:t>附注：</w:t>
            </w:r>
          </w:p>
          <w:p w:rsidR="00DC73EF" w:rsidRPr="00DC73EF" w:rsidRDefault="00DC73EF" w:rsidP="00A11BE9">
            <w:pPr>
              <w:autoSpaceDE w:val="0"/>
              <w:autoSpaceDN w:val="0"/>
              <w:jc w:val="left"/>
              <w:rPr>
                <w:rFonts w:ascii="仿宋" w:eastAsia="仿宋" w:hAnsi="仿宋" w:cs="仿宋"/>
                <w:kern w:val="0"/>
                <w:sz w:val="24"/>
                <w:szCs w:val="24"/>
                <w:lang w:val="zh-CN" w:bidi="zh-CN"/>
              </w:rPr>
            </w:pPr>
            <w:r w:rsidRPr="00DC73EF">
              <w:rPr>
                <w:rFonts w:ascii="仿宋" w:eastAsia="仿宋" w:hAnsi="仿宋" w:cs="仿宋" w:hint="eastAsia"/>
                <w:kern w:val="0"/>
                <w:sz w:val="24"/>
                <w:szCs w:val="24"/>
                <w:lang w:val="zh-CN" w:bidi="zh-CN"/>
              </w:rPr>
              <w:t>[1]湖南省高级人民法院（2014）湘高法民三终字第51号民事判决书。</w:t>
            </w:r>
          </w:p>
          <w:p w:rsidR="00F86AD0" w:rsidRDefault="00DC73EF" w:rsidP="00CB4ABC">
            <w:pPr>
              <w:autoSpaceDE w:val="0"/>
              <w:autoSpaceDN w:val="0"/>
              <w:jc w:val="left"/>
              <w:rPr>
                <w:rFonts w:ascii="仿宋" w:eastAsia="仿宋" w:hAnsi="仿宋" w:cs="仿宋"/>
                <w:kern w:val="0"/>
                <w:sz w:val="24"/>
                <w:szCs w:val="24"/>
                <w:lang w:val="zh-CN" w:bidi="zh-CN"/>
              </w:rPr>
            </w:pPr>
            <w:r w:rsidRPr="00DC73EF">
              <w:rPr>
                <w:rFonts w:ascii="仿宋" w:eastAsia="仿宋" w:hAnsi="仿宋" w:cs="仿宋" w:hint="eastAsia"/>
                <w:kern w:val="0"/>
                <w:sz w:val="24"/>
                <w:szCs w:val="24"/>
                <w:lang w:val="zh-CN" w:bidi="zh-CN"/>
              </w:rPr>
              <w:t>[2]吕太郎.民事诉讼之基本理论(一)[M].北京：中国政法大学出版社，2003：199。</w:t>
            </w:r>
          </w:p>
          <w:p w:rsidR="008112E7" w:rsidRDefault="008112E7" w:rsidP="00CB4ABC">
            <w:pPr>
              <w:autoSpaceDE w:val="0"/>
              <w:autoSpaceDN w:val="0"/>
              <w:jc w:val="left"/>
              <w:rPr>
                <w:rFonts w:ascii="仿宋" w:eastAsia="仿宋" w:hAnsi="仿宋" w:cs="仿宋"/>
                <w:kern w:val="0"/>
                <w:sz w:val="24"/>
                <w:szCs w:val="24"/>
                <w:lang w:val="zh-CN" w:bidi="zh-CN"/>
              </w:rPr>
            </w:pPr>
          </w:p>
          <w:p w:rsidR="008112E7" w:rsidRPr="00CB4ABC" w:rsidRDefault="008112E7" w:rsidP="00CB4ABC">
            <w:pPr>
              <w:autoSpaceDE w:val="0"/>
              <w:autoSpaceDN w:val="0"/>
              <w:jc w:val="left"/>
              <w:rPr>
                <w:rFonts w:ascii="仿宋" w:eastAsia="仿宋" w:hAnsi="仿宋" w:cs="仿宋"/>
                <w:kern w:val="0"/>
                <w:sz w:val="24"/>
                <w:szCs w:val="24"/>
                <w:lang w:val="zh-CN" w:bidi="zh-CN"/>
              </w:rPr>
            </w:pPr>
            <w:r>
              <w:rPr>
                <w:rFonts w:ascii="仿宋" w:eastAsia="仿宋" w:hAnsi="仿宋" w:cs="仿宋" w:hint="eastAsia"/>
                <w:kern w:val="0"/>
                <w:sz w:val="24"/>
                <w:szCs w:val="24"/>
                <w:lang w:val="zh-CN" w:bidi="zh-CN"/>
              </w:rPr>
              <w:t>原文链接：</w:t>
            </w:r>
            <w:r w:rsidRPr="008112E7">
              <w:rPr>
                <w:rFonts w:ascii="仿宋" w:eastAsia="仿宋" w:hAnsi="仿宋" w:cs="仿宋"/>
                <w:kern w:val="0"/>
                <w:sz w:val="24"/>
                <w:szCs w:val="24"/>
                <w:lang w:val="zh-CN" w:bidi="zh-CN"/>
              </w:rPr>
              <w:t>https://mp.weixin.qq.com/s/dg-xeW8yETTEH8cEKyjtVg</w:t>
            </w:r>
          </w:p>
        </w:tc>
      </w:tr>
    </w:tbl>
    <w:p w:rsidR="00D641CA" w:rsidRPr="00D641CA" w:rsidRDefault="00D641CA" w:rsidP="00F86AD0">
      <w:pPr>
        <w:spacing w:line="360" w:lineRule="auto"/>
        <w:rPr>
          <w:rFonts w:ascii="仿宋" w:eastAsia="仿宋" w:hAnsi="仿宋" w:cs="仿宋"/>
          <w:sz w:val="24"/>
          <w:szCs w:val="24"/>
        </w:rPr>
      </w:pPr>
    </w:p>
    <w:sectPr w:rsidR="00D641CA" w:rsidRPr="00D641CA" w:rsidSect="009D1FC3">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51" w:rsidRDefault="009A0051">
      <w:r>
        <w:separator/>
      </w:r>
    </w:p>
  </w:endnote>
  <w:endnote w:type="continuationSeparator" w:id="0">
    <w:p w:rsidR="009A0051" w:rsidRDefault="009A0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51" w:rsidRDefault="009A0051">
      <w:r>
        <w:separator/>
      </w:r>
    </w:p>
  </w:footnote>
  <w:footnote w:type="continuationSeparator" w:id="0">
    <w:p w:rsidR="009A0051" w:rsidRDefault="009A0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CA" w:rsidRDefault="000F6ACA" w:rsidP="00EC4BD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1C7"/>
    <w:multiLevelType w:val="hybridMultilevel"/>
    <w:tmpl w:val="39BEB15A"/>
    <w:lvl w:ilvl="0" w:tplc="0BE003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57797A"/>
    <w:multiLevelType w:val="hybridMultilevel"/>
    <w:tmpl w:val="DE8C2FB0"/>
    <w:lvl w:ilvl="0" w:tplc="E33C095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250603"/>
    <w:multiLevelType w:val="singleLevel"/>
    <w:tmpl w:val="56250603"/>
    <w:lvl w:ilvl="0">
      <w:start w:val="2"/>
      <w:numFmt w:val="chineseCounting"/>
      <w:suff w:val="nothing"/>
      <w:lvlText w:val="（%1）"/>
      <w:lvlJc w:val="left"/>
    </w:lvl>
  </w:abstractNum>
  <w:abstractNum w:abstractNumId="3">
    <w:nsid w:val="56250B4B"/>
    <w:multiLevelType w:val="singleLevel"/>
    <w:tmpl w:val="56250B4B"/>
    <w:lvl w:ilvl="0">
      <w:start w:val="2"/>
      <w:numFmt w:val="decimal"/>
      <w:suff w:val="nothing"/>
      <w:lvlText w:val="%1、"/>
      <w:lvlJc w:val="left"/>
    </w:lvl>
  </w:abstractNum>
  <w:abstractNum w:abstractNumId="4">
    <w:nsid w:val="562657C7"/>
    <w:multiLevelType w:val="singleLevel"/>
    <w:tmpl w:val="562657C7"/>
    <w:lvl w:ilvl="0">
      <w:start w:val="3"/>
      <w:numFmt w:val="chineseCounting"/>
      <w:suff w:val="nothing"/>
      <w:lvlText w:val="（%1）"/>
      <w:lvlJc w:val="left"/>
    </w:lvl>
  </w:abstractNum>
  <w:abstractNum w:abstractNumId="5">
    <w:nsid w:val="562735D0"/>
    <w:multiLevelType w:val="singleLevel"/>
    <w:tmpl w:val="562735D0"/>
    <w:lvl w:ilvl="0">
      <w:start w:val="2"/>
      <w:numFmt w:val="decimal"/>
      <w:suff w:val="nothing"/>
      <w:lvlText w:val="%1、"/>
      <w:lvlJc w:val="left"/>
    </w:lvl>
  </w:abstractNum>
  <w:abstractNum w:abstractNumId="6">
    <w:nsid w:val="65B6456B"/>
    <w:multiLevelType w:val="hybridMultilevel"/>
    <w:tmpl w:val="11425248"/>
    <w:lvl w:ilvl="0" w:tplc="BDB08BDC">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7C0A4EC5"/>
    <w:multiLevelType w:val="hybridMultilevel"/>
    <w:tmpl w:val="DF345AA2"/>
    <w:lvl w:ilvl="0" w:tplc="413CE93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15362" fillcolor="#9cbee0" strokecolor="#739cc3">
      <v:fill color="#9cbee0" color2="#bbd5f0" type="gradient">
        <o:fill v:ext="view" type="gradientUnscaled"/>
      </v:fill>
      <v:stroke color="#739cc3" weight="1.25pt"/>
      <o:colormenu v:ext="edit" strokecolor="none [16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1816E10"/>
    <w:rsid w:val="00056B1B"/>
    <w:rsid w:val="00070FDB"/>
    <w:rsid w:val="000D3995"/>
    <w:rsid w:val="000F6ACA"/>
    <w:rsid w:val="0015131E"/>
    <w:rsid w:val="001566A0"/>
    <w:rsid w:val="001C7BAC"/>
    <w:rsid w:val="002B5C68"/>
    <w:rsid w:val="002F72DA"/>
    <w:rsid w:val="003758AE"/>
    <w:rsid w:val="00382778"/>
    <w:rsid w:val="0041300B"/>
    <w:rsid w:val="00471AF5"/>
    <w:rsid w:val="00520F64"/>
    <w:rsid w:val="00545506"/>
    <w:rsid w:val="00567310"/>
    <w:rsid w:val="00572502"/>
    <w:rsid w:val="00572B5E"/>
    <w:rsid w:val="00586779"/>
    <w:rsid w:val="005A779A"/>
    <w:rsid w:val="005C37E0"/>
    <w:rsid w:val="005F6C9F"/>
    <w:rsid w:val="00742AED"/>
    <w:rsid w:val="00755102"/>
    <w:rsid w:val="00783278"/>
    <w:rsid w:val="00786D0E"/>
    <w:rsid w:val="008112E7"/>
    <w:rsid w:val="008B04EC"/>
    <w:rsid w:val="008C0B39"/>
    <w:rsid w:val="008E1385"/>
    <w:rsid w:val="008F1D2D"/>
    <w:rsid w:val="009429BD"/>
    <w:rsid w:val="0099175D"/>
    <w:rsid w:val="009A0051"/>
    <w:rsid w:val="009D1FC3"/>
    <w:rsid w:val="009D58AC"/>
    <w:rsid w:val="009F02EE"/>
    <w:rsid w:val="00A11BE9"/>
    <w:rsid w:val="00A44329"/>
    <w:rsid w:val="00A77729"/>
    <w:rsid w:val="00AA6595"/>
    <w:rsid w:val="00B35228"/>
    <w:rsid w:val="00B64CC0"/>
    <w:rsid w:val="00B67B15"/>
    <w:rsid w:val="00CB4ABC"/>
    <w:rsid w:val="00D16132"/>
    <w:rsid w:val="00D641CA"/>
    <w:rsid w:val="00D94A9C"/>
    <w:rsid w:val="00D96904"/>
    <w:rsid w:val="00D973E3"/>
    <w:rsid w:val="00DA2715"/>
    <w:rsid w:val="00DC73EF"/>
    <w:rsid w:val="00E2627F"/>
    <w:rsid w:val="00EC4BDD"/>
    <w:rsid w:val="00F86AD0"/>
    <w:rsid w:val="00F94607"/>
    <w:rsid w:val="0A164E71"/>
    <w:rsid w:val="11816E10"/>
    <w:rsid w:val="12BF2650"/>
    <w:rsid w:val="16435794"/>
    <w:rsid w:val="1E9D55C9"/>
    <w:rsid w:val="26A86578"/>
    <w:rsid w:val="42D11AAC"/>
    <w:rsid w:val="4FC50EC1"/>
    <w:rsid w:val="539E133B"/>
    <w:rsid w:val="56630BCA"/>
    <w:rsid w:val="5D1B04FC"/>
    <w:rsid w:val="65981813"/>
    <w:rsid w:val="67714745"/>
    <w:rsid w:val="69D770B2"/>
    <w:rsid w:val="6FC733C1"/>
    <w:rsid w:val="79770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colormenu v:ext="edit" strokecolor="none [1629]"/>
    </o:shapedefaults>
    <o:shapelayout v:ext="edit">
      <o:idmap v:ext="edit" data="1"/>
      <o:rules v:ext="edit">
        <o:r id="V:Rule5" type="connector" idref="#_x0000_s1050"/>
        <o:r id="V:Rule6" type="connector" idref="#_x0000_s1045"/>
        <o:r id="V:Rule7" type="connector" idref="#_x0000_s1046"/>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C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1FC3"/>
    <w:rPr>
      <w:color w:val="0000FF"/>
      <w:u w:val="single"/>
    </w:rPr>
  </w:style>
  <w:style w:type="character" w:styleId="a4">
    <w:name w:val="Strong"/>
    <w:basedOn w:val="a0"/>
    <w:uiPriority w:val="22"/>
    <w:qFormat/>
    <w:rsid w:val="009D1FC3"/>
    <w:rPr>
      <w:b/>
    </w:rPr>
  </w:style>
  <w:style w:type="paragraph" w:styleId="a5">
    <w:name w:val="header"/>
    <w:basedOn w:val="a"/>
    <w:unhideWhenUsed/>
    <w:rsid w:val="009D1FC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unhideWhenUsed/>
    <w:rsid w:val="009D1FC3"/>
    <w:pPr>
      <w:tabs>
        <w:tab w:val="center" w:pos="4153"/>
        <w:tab w:val="right" w:pos="8306"/>
      </w:tabs>
      <w:snapToGrid w:val="0"/>
      <w:jc w:val="left"/>
    </w:pPr>
    <w:rPr>
      <w:sz w:val="18"/>
    </w:rPr>
  </w:style>
  <w:style w:type="paragraph" w:styleId="a7">
    <w:name w:val="Normal (Web)"/>
    <w:basedOn w:val="a"/>
    <w:uiPriority w:val="99"/>
    <w:unhideWhenUsed/>
    <w:rsid w:val="00070FDB"/>
    <w:pPr>
      <w:spacing w:before="100" w:beforeAutospacing="1" w:after="100" w:afterAutospacing="1"/>
      <w:jc w:val="left"/>
    </w:pPr>
    <w:rPr>
      <w:rFonts w:ascii="Calibri" w:hAnsi="Calibri" w:cs="Arial"/>
      <w:kern w:val="0"/>
      <w:sz w:val="24"/>
      <w:szCs w:val="22"/>
    </w:rPr>
  </w:style>
  <w:style w:type="table" w:styleId="a8">
    <w:name w:val="Table Grid"/>
    <w:basedOn w:val="a1"/>
    <w:uiPriority w:val="99"/>
    <w:unhideWhenUsed/>
    <w:rsid w:val="001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Char"/>
    <w:uiPriority w:val="99"/>
    <w:semiHidden/>
    <w:unhideWhenUsed/>
    <w:rsid w:val="009F02EE"/>
    <w:rPr>
      <w:sz w:val="18"/>
      <w:szCs w:val="18"/>
    </w:rPr>
  </w:style>
  <w:style w:type="character" w:customStyle="1" w:styleId="Char">
    <w:name w:val="批注框文本 Char"/>
    <w:basedOn w:val="a0"/>
    <w:link w:val="a9"/>
    <w:uiPriority w:val="99"/>
    <w:semiHidden/>
    <w:rsid w:val="009F02EE"/>
    <w:rPr>
      <w:kern w:val="2"/>
      <w:sz w:val="18"/>
      <w:szCs w:val="18"/>
    </w:rPr>
  </w:style>
</w:styles>
</file>

<file path=word/webSettings.xml><?xml version="1.0" encoding="utf-8"?>
<w:webSettings xmlns:r="http://schemas.openxmlformats.org/officeDocument/2006/relationships" xmlns:w="http://schemas.openxmlformats.org/wordprocessingml/2006/main">
  <w:divs>
    <w:div w:id="1305114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hong@zoneke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4108-5920-4973-9E2D-3527B38C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642</Words>
  <Characters>3662</Characters>
  <Application>Microsoft Office Word</Application>
  <DocSecurity>0</DocSecurity>
  <PresentationFormat/>
  <Lines>30</Lines>
  <Paragraphs>8</Paragraphs>
  <Slides>0</Slides>
  <Notes>0</Notes>
  <HiddenSlides>0</HiddenSlides>
  <MMClips>0</MMClips>
  <ScaleCrop>false</ScaleCrop>
  <Company/>
  <LinksUpToDate>false</LinksUpToDate>
  <CharactersWithSpaces>4296</CharactersWithSpaces>
  <SharedDoc>false</SharedDoc>
  <HLinks>
    <vt:vector size="114" baseType="variant">
      <vt:variant>
        <vt:i4>2293886</vt:i4>
      </vt:variant>
      <vt:variant>
        <vt:i4>54</vt:i4>
      </vt:variant>
      <vt:variant>
        <vt:i4>0</vt:i4>
      </vt:variant>
      <vt:variant>
        <vt:i4>5</vt:i4>
      </vt:variant>
      <vt:variant>
        <vt:lpwstr>http://www.zonekey.com/</vt:lpwstr>
      </vt:variant>
      <vt:variant>
        <vt:lpwstr/>
      </vt:variant>
      <vt:variant>
        <vt:i4>5767182</vt:i4>
      </vt:variant>
      <vt:variant>
        <vt:i4>51</vt:i4>
      </vt:variant>
      <vt:variant>
        <vt:i4>0</vt:i4>
      </vt:variant>
      <vt:variant>
        <vt:i4>5</vt:i4>
      </vt:variant>
      <vt:variant>
        <vt:lpwstr>tel:+86-731-84580606</vt:lpwstr>
      </vt:variant>
      <vt:variant>
        <vt:lpwstr/>
      </vt:variant>
      <vt:variant>
        <vt:i4>1392794589</vt:i4>
      </vt:variant>
      <vt:variant>
        <vt:i4>48</vt:i4>
      </vt:variant>
      <vt:variant>
        <vt:i4>0</vt:i4>
      </vt:variant>
      <vt:variant>
        <vt:i4>5</vt:i4>
      </vt:variant>
      <vt:variant>
        <vt:lpwstr>mailto:卢宏luhong@zonekey.com</vt:lpwstr>
      </vt:variant>
      <vt:variant>
        <vt:lpwstr/>
      </vt:variant>
      <vt:variant>
        <vt:i4>4980801</vt:i4>
      </vt:variant>
      <vt:variant>
        <vt:i4>45</vt:i4>
      </vt:variant>
      <vt:variant>
        <vt:i4>0</vt:i4>
      </vt:variant>
      <vt:variant>
        <vt:i4>5</vt:i4>
      </vt:variant>
      <vt:variant>
        <vt:lpwstr>http://www.arbitration.qmul.ac.uk/docs/164761.pdf</vt:lpwstr>
      </vt:variant>
      <vt:variant>
        <vt:lpwstr/>
      </vt:variant>
      <vt:variant>
        <vt:i4>1310801</vt:i4>
      </vt:variant>
      <vt:variant>
        <vt:i4>42</vt:i4>
      </vt:variant>
      <vt:variant>
        <vt:i4>0</vt:i4>
      </vt:variant>
      <vt:variant>
        <vt:i4>5</vt:i4>
      </vt:variant>
      <vt:variant>
        <vt:lpwstr>http://baike.baidu.com/subview/376754/376754.htm</vt:lpwstr>
      </vt:variant>
      <vt:variant>
        <vt:lpwstr/>
      </vt:variant>
      <vt:variant>
        <vt:i4>1114196</vt:i4>
      </vt:variant>
      <vt:variant>
        <vt:i4>39</vt:i4>
      </vt:variant>
      <vt:variant>
        <vt:i4>0</vt:i4>
      </vt:variant>
      <vt:variant>
        <vt:i4>5</vt:i4>
      </vt:variant>
      <vt:variant>
        <vt:lpwstr>http://baike.baidu.com/subview/626892/626892.htm</vt:lpwstr>
      </vt:variant>
      <vt:variant>
        <vt:lpwstr/>
      </vt:variant>
      <vt:variant>
        <vt:i4>4128890</vt:i4>
      </vt:variant>
      <vt:variant>
        <vt:i4>36</vt:i4>
      </vt:variant>
      <vt:variant>
        <vt:i4>0</vt:i4>
      </vt:variant>
      <vt:variant>
        <vt:i4>5</vt:i4>
      </vt:variant>
      <vt:variant>
        <vt:lpwstr>http://baike.baidu.com/subview/4418231/4418231.htm</vt:lpwstr>
      </vt:variant>
      <vt:variant>
        <vt:lpwstr/>
      </vt:variant>
      <vt:variant>
        <vt:i4>4128890</vt:i4>
      </vt:variant>
      <vt:variant>
        <vt:i4>33</vt:i4>
      </vt:variant>
      <vt:variant>
        <vt:i4>0</vt:i4>
      </vt:variant>
      <vt:variant>
        <vt:i4>5</vt:i4>
      </vt:variant>
      <vt:variant>
        <vt:lpwstr>http://baike.baidu.com/subview/53345/53345.htm</vt:lpwstr>
      </vt:variant>
      <vt:variant>
        <vt:lpwstr/>
      </vt:variant>
      <vt:variant>
        <vt:i4>5242880</vt:i4>
      </vt:variant>
      <vt:variant>
        <vt:i4>30</vt:i4>
      </vt:variant>
      <vt:variant>
        <vt:i4>0</vt:i4>
      </vt:variant>
      <vt:variant>
        <vt:i4>5</vt:i4>
      </vt:variant>
      <vt:variant>
        <vt:lpwstr>http://baike.baidu.com/view/76750.htm</vt:lpwstr>
      </vt:variant>
      <vt:variant>
        <vt:lpwstr/>
      </vt:variant>
      <vt:variant>
        <vt:i4>3932209</vt:i4>
      </vt:variant>
      <vt:variant>
        <vt:i4>27</vt:i4>
      </vt:variant>
      <vt:variant>
        <vt:i4>0</vt:i4>
      </vt:variant>
      <vt:variant>
        <vt:i4>5</vt:i4>
      </vt:variant>
      <vt:variant>
        <vt:lpwstr>http://baike.baidu.com/view/145175.htm</vt:lpwstr>
      </vt:variant>
      <vt:variant>
        <vt:lpwstr/>
      </vt:variant>
      <vt:variant>
        <vt:i4>393226</vt:i4>
      </vt:variant>
      <vt:variant>
        <vt:i4>24</vt:i4>
      </vt:variant>
      <vt:variant>
        <vt:i4>0</vt:i4>
      </vt:variant>
      <vt:variant>
        <vt:i4>5</vt:i4>
      </vt:variant>
      <vt:variant>
        <vt:lpwstr>http://baike.baidu.com/view/8903.htm</vt:lpwstr>
      </vt:variant>
      <vt:variant>
        <vt:lpwstr/>
      </vt:variant>
      <vt:variant>
        <vt:i4>6094856</vt:i4>
      </vt:variant>
      <vt:variant>
        <vt:i4>21</vt:i4>
      </vt:variant>
      <vt:variant>
        <vt:i4>0</vt:i4>
      </vt:variant>
      <vt:variant>
        <vt:i4>5</vt:i4>
      </vt:variant>
      <vt:variant>
        <vt:lpwstr>http://baike.baidu.com/view/26882.htm</vt:lpwstr>
      </vt:variant>
      <vt:variant>
        <vt:lpwstr/>
      </vt:variant>
      <vt:variant>
        <vt:i4>6160386</vt:i4>
      </vt:variant>
      <vt:variant>
        <vt:i4>18</vt:i4>
      </vt:variant>
      <vt:variant>
        <vt:i4>0</vt:i4>
      </vt:variant>
      <vt:variant>
        <vt:i4>5</vt:i4>
      </vt:variant>
      <vt:variant>
        <vt:lpwstr>http://baike.baidu.com/view/18754.htm</vt:lpwstr>
      </vt:variant>
      <vt:variant>
        <vt:lpwstr/>
      </vt:variant>
      <vt:variant>
        <vt:i4>1179735</vt:i4>
      </vt:variant>
      <vt:variant>
        <vt:i4>15</vt:i4>
      </vt:variant>
      <vt:variant>
        <vt:i4>0</vt:i4>
      </vt:variant>
      <vt:variant>
        <vt:i4>5</vt:i4>
      </vt:variant>
      <vt:variant>
        <vt:lpwstr>http://baike.baidu.com/subview/974080/974080.htm</vt:lpwstr>
      </vt:variant>
      <vt:variant>
        <vt:lpwstr/>
      </vt:variant>
      <vt:variant>
        <vt:i4>4128890</vt:i4>
      </vt:variant>
      <vt:variant>
        <vt:i4>12</vt:i4>
      </vt:variant>
      <vt:variant>
        <vt:i4>0</vt:i4>
      </vt:variant>
      <vt:variant>
        <vt:i4>5</vt:i4>
      </vt:variant>
      <vt:variant>
        <vt:lpwstr>http://baike.baidu.com/subview/3104474/3104474.htm</vt:lpwstr>
      </vt:variant>
      <vt:variant>
        <vt:lpwstr/>
      </vt:variant>
      <vt:variant>
        <vt:i4>1507410</vt:i4>
      </vt:variant>
      <vt:variant>
        <vt:i4>9</vt:i4>
      </vt:variant>
      <vt:variant>
        <vt:i4>0</vt:i4>
      </vt:variant>
      <vt:variant>
        <vt:i4>5</vt:i4>
      </vt:variant>
      <vt:variant>
        <vt:lpwstr>http://baike.baidu.com/subview/392483/392483.htm</vt:lpwstr>
      </vt:variant>
      <vt:variant>
        <vt:lpwstr/>
      </vt:variant>
      <vt:variant>
        <vt:i4>6488114</vt:i4>
      </vt:variant>
      <vt:variant>
        <vt:i4>6</vt:i4>
      </vt:variant>
      <vt:variant>
        <vt:i4>0</vt:i4>
      </vt:variant>
      <vt:variant>
        <vt:i4>5</vt:i4>
      </vt:variant>
      <vt:variant>
        <vt:lpwstr>http://baike.baidu.com/view/1694923.htm</vt:lpwstr>
      </vt:variant>
      <vt:variant>
        <vt:lpwstr/>
      </vt:variant>
      <vt:variant>
        <vt:i4>2031706</vt:i4>
      </vt:variant>
      <vt:variant>
        <vt:i4>3</vt:i4>
      </vt:variant>
      <vt:variant>
        <vt:i4>0</vt:i4>
      </vt:variant>
      <vt:variant>
        <vt:i4>5</vt:i4>
      </vt:variant>
      <vt:variant>
        <vt:lpwstr>http://baike.baidu.com/subview/114218/114218.htm</vt:lpwstr>
      </vt:variant>
      <vt:variant>
        <vt:lpwstr/>
      </vt:variant>
      <vt:variant>
        <vt:i4>1392794589</vt:i4>
      </vt:variant>
      <vt:variant>
        <vt:i4>0</vt:i4>
      </vt:variant>
      <vt:variant>
        <vt:i4>0</vt:i4>
      </vt:variant>
      <vt:variant>
        <vt:i4>5</vt:i4>
      </vt:variant>
      <vt:variant>
        <vt:lpwstr>mailto:卢宏luhong@zonekey.com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HKPC</dc:title>
  <dc:creator>hong lu</dc:creator>
  <cp:lastModifiedBy>china</cp:lastModifiedBy>
  <cp:revision>6</cp:revision>
  <cp:lastPrinted>2015-10-22T07:08:00Z</cp:lastPrinted>
  <dcterms:created xsi:type="dcterms:W3CDTF">2021-10-15T02:06:00Z</dcterms:created>
  <dcterms:modified xsi:type="dcterms:W3CDTF">2021-10-15T09:28:00Z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